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C1BA6" w14:textId="77777777" w:rsidR="00AB42AE" w:rsidRDefault="00483AA2">
      <w:r>
        <w:t>Вкладка «График платежей по договору»</w:t>
      </w:r>
    </w:p>
    <w:p w14:paraId="6EDD7F7A" w14:textId="77777777" w:rsidR="00483AA2" w:rsidRPr="00BB310F" w:rsidRDefault="00BB310F">
      <w:r>
        <w:t xml:space="preserve">Эффективная процентная ставка была введена 1759-У, расчет которой должен производиться 175-Т  </w:t>
      </w:r>
      <w:r w:rsidR="00483AA2">
        <w:t xml:space="preserve"> по формуле ЧИСТВНДОХ() в </w:t>
      </w:r>
      <w:r w:rsidR="00483AA2">
        <w:rPr>
          <w:lang w:val="en-US"/>
        </w:rPr>
        <w:t>Excel</w:t>
      </w:r>
      <w:r>
        <w:t>, в указании 2008-У формула ПСК и ЭПС совпадает, поэтому расчет ПСК по 2008-У также производится по формуле ЧИСТВНДОХ().</w:t>
      </w:r>
    </w:p>
    <w:p w14:paraId="427052CC" w14:textId="748CCB8D" w:rsidR="00483AA2" w:rsidRPr="004C5E77" w:rsidRDefault="00483AA2">
      <w:pPr>
        <w:rPr>
          <w:lang w:val="en-US"/>
        </w:rPr>
      </w:pPr>
      <w:r>
        <w:t>Получаем: 18,49%</w:t>
      </w:r>
      <w:bookmarkStart w:id="0" w:name="_GoBack"/>
      <w:bookmarkEnd w:id="0"/>
    </w:p>
    <w:p w14:paraId="6A25301A" w14:textId="77777777" w:rsidR="00483AA2" w:rsidRDefault="00483AA2">
      <w:r>
        <w:t>Сбербанк, не исполняя требования закона о защите прав потребителей, указание 2008-У, не уведомил заемщика о ПСК в размере 18,49%.</w:t>
      </w:r>
    </w:p>
    <w:p w14:paraId="2FB3470A" w14:textId="77777777" w:rsidR="00483AA2" w:rsidRDefault="00483AA2">
      <w:r>
        <w:t xml:space="preserve">Между тем, в сходном деле №2-2940/2018 на судебном заседании 11.07.2018 в 13-50 Гагаринского районного суда г. Москвы (Романенко Ростислав Вячеславович протии в ПАО «Сбербанк» на стр. 3 указывает: «Применяемая формула для расчета полной стоимости кредита основана на методе сложных процентов». Таким образом, Банк, предоставил кредит Заемщику не под 17,1% годовых простыми процентами, а под 18,49% годовых сложными процентами, что </w:t>
      </w:r>
      <w:r w:rsidR="00BB310F">
        <w:t>подтверждается проверкой в Экселе и суммой расхождений, равной 0</w:t>
      </w:r>
    </w:p>
    <w:p w14:paraId="0BB90C33" w14:textId="77777777" w:rsidR="00BB310F" w:rsidRDefault="00724A06">
      <w:r>
        <w:t>Разница 17,1% и 18,49% обусловлена не мифическим «потенциально недополученным доходом», а неправильным расчетом процентов за месяц по формуле Остаток_Основного_Долга*Ставка*Дней/365(366). Правильный расчет будет по формуле Остаток_основного_долга*((1+Ставка)</w:t>
      </w:r>
      <w:r w:rsidRPr="00724A06">
        <w:t>^(</w:t>
      </w:r>
      <w:r>
        <w:t>Дней/365(366))-1). Тогда ПСК совпадает с ГПС.</w:t>
      </w:r>
    </w:p>
    <w:p w14:paraId="5515B188" w14:textId="77777777" w:rsidR="00724A06" w:rsidRDefault="00724A06">
      <w:r>
        <w:t>Банк специально считает по неправильной формуле, чтобы завуалировать расчет сложных процентов простыми. При этом, на вкладке «По договору» приводится расчет, что под 17,1% на 6 лет простыми процентами ПСК=13,14%.</w:t>
      </w:r>
    </w:p>
    <w:p w14:paraId="3C48804E" w14:textId="77777777" w:rsidR="00724A06" w:rsidRDefault="00724A06">
      <w:r>
        <w:t xml:space="preserve">Данный вывод подтверждает эксперт ЦБ Кокорев Р.А. на сайте </w:t>
      </w:r>
      <w:r w:rsidR="00CE2BB4" w:rsidRPr="00CE2BB4">
        <w:t>https://finuch.ru/lecture/8736</w:t>
      </w:r>
    </w:p>
    <w:p w14:paraId="446EF844" w14:textId="77777777" w:rsidR="00724A06" w:rsidRDefault="00724A06">
      <w:pPr>
        <w:rPr>
          <w:rFonts w:ascii="Arial" w:hAnsi="Arial" w:cs="Arial"/>
          <w:color w:val="242424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t>«Итак, слож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ные про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цен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ты вы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год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нее для кре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ди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то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ра на длин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ном го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ри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зонте - больше од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но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го го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да: то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гда при од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ной и той же го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до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вой про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цент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ной став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ке долж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ник по фор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му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ле слож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ных про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цен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тов запла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тит больше, чем по фор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му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ле про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стых про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цен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тов. А на пе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ри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о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дах мень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ше го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да, нао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бо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рот, слож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ные про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цен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ты вы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год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нее долж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ни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ку, чем про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стые, если став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ка вы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ра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же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на в про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цен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тах го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до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softHyphen/>
        <w:t>вых.»</w:t>
      </w:r>
    </w:p>
    <w:p w14:paraId="703730ED" w14:textId="77777777" w:rsidR="00CE2BB4" w:rsidRDefault="00CE2BB4">
      <w:pPr>
        <w:rPr>
          <w:rFonts w:ascii="Arial" w:hAnsi="Arial" w:cs="Arial"/>
          <w:color w:val="242424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t>Кредит Заемщика на 5 лет – больше одного года, значит, простыми процентами выгоднее, чем простыми, значит ПСК должна быть МЕНЬШЕ 17,1%, а не БОЛЬШЕ.</w:t>
      </w:r>
    </w:p>
    <w:p w14:paraId="105CE757" w14:textId="77777777" w:rsidR="00CE2BB4" w:rsidRDefault="00CE2BB4">
      <w:pPr>
        <w:rPr>
          <w:rFonts w:ascii="Arial" w:hAnsi="Arial" w:cs="Arial"/>
          <w:color w:val="242424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t>В соответствии с положением 39-П</w:t>
      </w:r>
      <w:r w:rsidR="00C504C9">
        <w:rPr>
          <w:rFonts w:ascii="Arial" w:hAnsi="Arial" w:cs="Arial"/>
          <w:color w:val="242424"/>
          <w:sz w:val="23"/>
          <w:szCs w:val="23"/>
          <w:shd w:val="clear" w:color="auto" w:fill="FFFFFF"/>
        </w:rPr>
        <w:t xml:space="preserve"> :</w:t>
      </w:r>
    </w:p>
    <w:p w14:paraId="5723B62B" w14:textId="77777777" w:rsidR="00C504C9" w:rsidRDefault="00C504C9" w:rsidP="00C504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t>П. 3.9 «</w:t>
      </w:r>
      <w:r>
        <w:rPr>
          <w:rFonts w:ascii="TimesNewRomanPSMT" w:hAnsi="TimesNewRomanPSMT" w:cs="TimesNewRomanPSMT"/>
          <w:sz w:val="24"/>
          <w:szCs w:val="24"/>
        </w:rPr>
        <w:t>3.9. Начисление процентов может осуществляться одним из четырех способов: по</w:t>
      </w:r>
    </w:p>
    <w:p w14:paraId="101066FE" w14:textId="77777777" w:rsidR="00C504C9" w:rsidRDefault="00C504C9" w:rsidP="00C504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формулам простых процентов, сложных процентов, с использованием фиксированной</w:t>
      </w:r>
    </w:p>
    <w:p w14:paraId="604BC9CE" w14:textId="77777777" w:rsidR="00C504C9" w:rsidRDefault="00C504C9" w:rsidP="00C504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либо плавающей процентной ставки в соответствии с условиями договора. Если в</w:t>
      </w:r>
    </w:p>
    <w:p w14:paraId="5689D221" w14:textId="77777777" w:rsidR="00C504C9" w:rsidRDefault="00C504C9" w:rsidP="00C504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договоре не указывается способ начисления процентов, то начисление процентов</w:t>
      </w:r>
    </w:p>
    <w:p w14:paraId="004F2438" w14:textId="77777777" w:rsidR="00C504C9" w:rsidRDefault="00C504C9" w:rsidP="00C504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осуществляется по формуле простых процентов с использованием фиксированной</w:t>
      </w:r>
    </w:p>
    <w:p w14:paraId="772D1EDB" w14:textId="77777777" w:rsidR="00C504C9" w:rsidRDefault="00C504C9" w:rsidP="00C504C9">
      <w:pPr>
        <w:rPr>
          <w:rFonts w:ascii="Arial" w:hAnsi="Arial" w:cs="Arial"/>
          <w:color w:val="242424"/>
          <w:sz w:val="23"/>
          <w:szCs w:val="23"/>
          <w:shd w:val="clear" w:color="auto" w:fill="FFFFFF"/>
        </w:rPr>
      </w:pPr>
      <w:r>
        <w:rPr>
          <w:rFonts w:ascii="TimesNewRomanPSMT" w:hAnsi="TimesNewRomanPSMT" w:cs="TimesNewRomanPSMT"/>
          <w:sz w:val="24"/>
          <w:szCs w:val="24"/>
        </w:rPr>
        <w:t>процентной ставки.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t>»</w:t>
      </w:r>
    </w:p>
    <w:p w14:paraId="19059F57" w14:textId="77777777" w:rsidR="00C504C9" w:rsidRDefault="00C504C9" w:rsidP="00C504C9">
      <w:pPr>
        <w:rPr>
          <w:rFonts w:ascii="Arial" w:hAnsi="Arial" w:cs="Arial"/>
          <w:color w:val="242424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t xml:space="preserve">В Договоре нет указания на способ начисления процентов, значит, годовая процентная ставка 17,1% годовых соответствует </w:t>
      </w:r>
      <w:r w:rsidR="00CE4FD2">
        <w:rPr>
          <w:rFonts w:ascii="Arial" w:hAnsi="Arial" w:cs="Arial"/>
          <w:color w:val="242424"/>
          <w:sz w:val="23"/>
          <w:szCs w:val="23"/>
          <w:shd w:val="clear" w:color="auto" w:fill="FFFFFF"/>
        </w:rPr>
        <w:t>простой фиксированной ставке.</w:t>
      </w:r>
    </w:p>
    <w:p w14:paraId="07BE7E23" w14:textId="77777777" w:rsidR="001C44C8" w:rsidRDefault="001C44C8" w:rsidP="001C44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3.5. Проценты на привлеченные и размещенные денежные средства начисляются</w:t>
      </w:r>
    </w:p>
    <w:p w14:paraId="31F9BAAA" w14:textId="77777777" w:rsidR="001C44C8" w:rsidRDefault="001C44C8" w:rsidP="001C44C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банком на остаток задолженности по основному долгу, учитываемой на соответствующем</w:t>
      </w:r>
    </w:p>
    <w:p w14:paraId="547ADD34" w14:textId="77777777" w:rsidR="001C44C8" w:rsidRDefault="001C44C8" w:rsidP="001C44C8">
      <w:pPr>
        <w:rPr>
          <w:rFonts w:ascii="Arial" w:hAnsi="Arial" w:cs="Arial"/>
          <w:color w:val="242424"/>
          <w:sz w:val="23"/>
          <w:szCs w:val="23"/>
          <w:shd w:val="clear" w:color="auto" w:fill="FFFFFF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лицевом счете, на начало операционного дня.</w:t>
      </w:r>
    </w:p>
    <w:p w14:paraId="0884FEBE" w14:textId="77777777" w:rsidR="00CE4FD2" w:rsidRDefault="00CE4FD2" w:rsidP="00CE4F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t>«</w:t>
      </w:r>
      <w:r>
        <w:rPr>
          <w:rFonts w:ascii="TimesNewRomanPSMT" w:hAnsi="TimesNewRomanPSMT" w:cs="TimesNewRomanPSMT"/>
          <w:sz w:val="24"/>
          <w:szCs w:val="24"/>
        </w:rPr>
        <w:t>3.6. Банк должен обеспечить программным путем ежедневное начисление процентов</w:t>
      </w:r>
    </w:p>
    <w:p w14:paraId="712D733F" w14:textId="77777777" w:rsidR="00CE4FD2" w:rsidRDefault="00CE4FD2" w:rsidP="00CE4F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 каждому договору нарастающим итогом с даты последнего отражения в бухгалтерском</w:t>
      </w:r>
    </w:p>
    <w:p w14:paraId="77AB28E0" w14:textId="77777777" w:rsidR="00CE4FD2" w:rsidRDefault="00CE4FD2" w:rsidP="00CE4FD2">
      <w:pPr>
        <w:rPr>
          <w:rFonts w:ascii="Arial" w:hAnsi="Arial" w:cs="Arial"/>
          <w:color w:val="242424"/>
          <w:sz w:val="23"/>
          <w:szCs w:val="23"/>
          <w:shd w:val="clear" w:color="auto" w:fill="FFFFFF"/>
        </w:rPr>
      </w:pPr>
      <w:r>
        <w:rPr>
          <w:rFonts w:ascii="TimesNewRomanPSMT" w:hAnsi="TimesNewRomanPSMT" w:cs="TimesNewRomanPSMT"/>
          <w:sz w:val="24"/>
          <w:szCs w:val="24"/>
        </w:rPr>
        <w:t>учете банка суммы начисленных процентов.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t>». Значит, под термином «Начисление процентов» законодатель понимает простой расчет без увеличения долга и выплаты этих процентов.</w:t>
      </w:r>
    </w:p>
    <w:p w14:paraId="7C4C1647" w14:textId="77777777" w:rsidR="00CE4FD2" w:rsidRDefault="00CE4FD2" w:rsidP="00CE4FD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t xml:space="preserve">В соответствии с </w:t>
      </w:r>
      <w:r>
        <w:rPr>
          <w:rFonts w:ascii="CIDFont+F1" w:hAnsi="CIDFont+F1" w:cs="CIDFont+F1"/>
          <w:sz w:val="20"/>
          <w:szCs w:val="20"/>
        </w:rPr>
        <w:t>Приложение 1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t xml:space="preserve"> к  «</w:t>
      </w:r>
      <w:r>
        <w:rPr>
          <w:rFonts w:ascii="CIDFont+F1" w:hAnsi="CIDFont+F1" w:cs="CIDFont+F1"/>
          <w:sz w:val="20"/>
          <w:szCs w:val="20"/>
        </w:rPr>
        <w:t>"Методические рекомендации к Положению Банка России "О порядке начисления процентов по</w:t>
      </w:r>
    </w:p>
    <w:p w14:paraId="0DFF9A35" w14:textId="77777777" w:rsidR="00CE4FD2" w:rsidRDefault="00CE4FD2" w:rsidP="00CE4FD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операциям, связанным с привлечением и размещением денежных средств банками, и отражения</w:t>
      </w:r>
    </w:p>
    <w:p w14:paraId="21CB92D6" w14:textId="77777777" w:rsidR="00CE4FD2" w:rsidRDefault="00CE4FD2" w:rsidP="00CE4FD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указанных операций по счетам бухгалтерского учета" от 26 июня 1998 г. N 39-П"</w:t>
      </w:r>
    </w:p>
    <w:p w14:paraId="19CCDC55" w14:textId="77777777" w:rsidR="00CE4FD2" w:rsidRDefault="00CE4FD2" w:rsidP="00CE4FD2">
      <w:pPr>
        <w:rPr>
          <w:rFonts w:ascii="Arial" w:hAnsi="Arial" w:cs="Arial"/>
          <w:color w:val="242424"/>
          <w:sz w:val="23"/>
          <w:szCs w:val="23"/>
          <w:shd w:val="clear" w:color="auto" w:fill="FFFFFF"/>
        </w:rPr>
      </w:pPr>
      <w:r>
        <w:rPr>
          <w:rFonts w:ascii="CIDFont+F1" w:hAnsi="CIDFont+F1" w:cs="CIDFont+F1"/>
          <w:sz w:val="20"/>
          <w:szCs w:val="20"/>
        </w:rPr>
        <w:t>(утв. Банком России 14.10.1998 N 285-Т)</w:t>
      </w: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t>»</w:t>
      </w:r>
    </w:p>
    <w:p w14:paraId="632D7262" w14:textId="77777777" w:rsidR="00CE4FD2" w:rsidRDefault="00CE4FD2" w:rsidP="00CE4FD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Формулы определения</w:t>
      </w:r>
    </w:p>
    <w:p w14:paraId="6189FAB5" w14:textId="77777777" w:rsidR="00CE4FD2" w:rsidRDefault="00CE4FD2" w:rsidP="00CE4FD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наращенной суммы долга по привлеченным</w:t>
      </w:r>
    </w:p>
    <w:p w14:paraId="0563DB2F" w14:textId="77777777" w:rsidR="00CE4FD2" w:rsidRDefault="00CE4FD2" w:rsidP="00CE4FD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(размещенным) средствам банков:</w:t>
      </w:r>
    </w:p>
    <w:p w14:paraId="62DC3CFD" w14:textId="77777777" w:rsidR="00CE4FD2" w:rsidRDefault="00CE4FD2" w:rsidP="00CE4FD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1. По формуле простых процентов:</w:t>
      </w:r>
    </w:p>
    <w:p w14:paraId="361CA87A" w14:textId="77777777" w:rsidR="00CE4FD2" w:rsidRDefault="00CE4FD2" w:rsidP="00CE4FD2">
      <w:pPr>
        <w:autoSpaceDE w:val="0"/>
        <w:autoSpaceDN w:val="0"/>
        <w:adjustRightInd w:val="0"/>
        <w:spacing w:after="0" w:line="240" w:lineRule="auto"/>
        <w:rPr>
          <w:rFonts w:ascii="CIDFont+F3" w:eastAsia="CIDFont+F3" w:hAnsi="CIDFont+F1" w:cs="CIDFont+F3"/>
          <w:sz w:val="20"/>
          <w:szCs w:val="20"/>
        </w:rPr>
      </w:pPr>
      <w:r>
        <w:rPr>
          <w:rFonts w:ascii="CIDFont+F3" w:eastAsia="CIDFont+F3" w:hAnsi="CIDFont+F1" w:cs="CIDFont+F3"/>
          <w:sz w:val="20"/>
          <w:szCs w:val="20"/>
        </w:rPr>
        <w:t xml:space="preserve">S = </w:t>
      </w:r>
      <w:r>
        <w:rPr>
          <w:rFonts w:ascii="CIDFont+F3" w:eastAsia="CIDFont+F3" w:hAnsi="CIDFont+F1" w:cs="CIDFont+F3" w:hint="eastAsia"/>
          <w:sz w:val="20"/>
          <w:szCs w:val="20"/>
        </w:rPr>
        <w:t>Р</w:t>
      </w:r>
      <w:r>
        <w:rPr>
          <w:rFonts w:ascii="CIDFont+F3" w:eastAsia="CIDFont+F3" w:hAnsi="CIDFont+F1" w:cs="CIDFont+F3"/>
          <w:sz w:val="20"/>
          <w:szCs w:val="20"/>
        </w:rPr>
        <w:t xml:space="preserve"> </w:t>
      </w:r>
      <w:r>
        <w:rPr>
          <w:rFonts w:ascii="CIDFont+F3" w:eastAsia="CIDFont+F3" w:hAnsi="CIDFont+F1" w:cs="CIDFont+F3" w:hint="eastAsia"/>
          <w:sz w:val="20"/>
          <w:szCs w:val="20"/>
        </w:rPr>
        <w:t>х</w:t>
      </w:r>
      <w:r>
        <w:rPr>
          <w:rFonts w:ascii="CIDFont+F3" w:eastAsia="CIDFont+F3" w:hAnsi="CIDFont+F1" w:cs="CIDFont+F3"/>
          <w:sz w:val="20"/>
          <w:szCs w:val="20"/>
        </w:rPr>
        <w:t xml:space="preserve"> (1 + I </w:t>
      </w:r>
      <w:r>
        <w:rPr>
          <w:rFonts w:ascii="CIDFont+F3" w:eastAsia="CIDFont+F3" w:hAnsi="CIDFont+F1" w:cs="CIDFont+F3" w:hint="eastAsia"/>
          <w:sz w:val="20"/>
          <w:szCs w:val="20"/>
        </w:rPr>
        <w:t>х</w:t>
      </w:r>
      <w:r>
        <w:rPr>
          <w:rFonts w:ascii="CIDFont+F3" w:eastAsia="CIDFont+F3" w:hAnsi="CIDFont+F1" w:cs="CIDFont+F3"/>
          <w:sz w:val="20"/>
          <w:szCs w:val="20"/>
        </w:rPr>
        <w:t xml:space="preserve"> t/K), </w:t>
      </w:r>
      <w:r>
        <w:rPr>
          <w:rFonts w:ascii="CIDFont+F3" w:eastAsia="CIDFont+F3" w:hAnsi="CIDFont+F1" w:cs="CIDFont+F3" w:hint="eastAsia"/>
          <w:sz w:val="20"/>
          <w:szCs w:val="20"/>
        </w:rPr>
        <w:t>где</w:t>
      </w:r>
    </w:p>
    <w:p w14:paraId="04781FC0" w14:textId="77777777" w:rsidR="00CE4FD2" w:rsidRDefault="00CE4FD2" w:rsidP="00CE4FD2">
      <w:pPr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I - годовая процентная ставка</w:t>
      </w:r>
    </w:p>
    <w:p w14:paraId="0F66AA8C" w14:textId="77777777" w:rsidR="00CE4FD2" w:rsidRDefault="00CE4FD2" w:rsidP="00CE4FD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t - количество дней начисления процентов по привлеченным (размещенным) денежным средствам</w:t>
      </w:r>
    </w:p>
    <w:p w14:paraId="70A96D43" w14:textId="77777777" w:rsidR="00CE4FD2" w:rsidRDefault="00CE4FD2" w:rsidP="00CE4FD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К - количество дней в календарном году (365 или 366)</w:t>
      </w:r>
    </w:p>
    <w:p w14:paraId="2ED18A38" w14:textId="77777777" w:rsidR="00CE4FD2" w:rsidRDefault="00CE4FD2" w:rsidP="00CE4FD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Р - первоначальная сумма привлеченных (во вклад, депозит и на другие банковские счета) или</w:t>
      </w:r>
    </w:p>
    <w:p w14:paraId="37B048F5" w14:textId="77777777" w:rsidR="00CE4FD2" w:rsidRDefault="00CE4FD2" w:rsidP="00CE4FD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размещенных (в кредит, заем и на других банковских счетах) денежных средств</w:t>
      </w:r>
    </w:p>
    <w:p w14:paraId="00EBA4D7" w14:textId="77777777" w:rsidR="00CE4FD2" w:rsidRDefault="00CE4FD2" w:rsidP="00CE4FD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 - сумма денежных средств, причитающихся к возврату (получению), равная первоначальной сумме</w:t>
      </w:r>
    </w:p>
    <w:p w14:paraId="6B1F8AAB" w14:textId="77777777" w:rsidR="00CE4FD2" w:rsidRDefault="00CE4FD2" w:rsidP="00CE4FD2">
      <w:pPr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привлеченных (размещенных) денежных средств плюс начисленные проценты.</w:t>
      </w:r>
    </w:p>
    <w:p w14:paraId="3417B5AA" w14:textId="77777777" w:rsidR="001C44C8" w:rsidRDefault="00CE4FD2" w:rsidP="001C44C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Таким образом, </w:t>
      </w:r>
      <w:r w:rsidR="001C44C8">
        <w:rPr>
          <w:rFonts w:ascii="CIDFont+F1" w:hAnsi="CIDFont+F1" w:cs="CIDFont+F1"/>
          <w:sz w:val="20"/>
          <w:szCs w:val="20"/>
        </w:rPr>
        <w:t xml:space="preserve">Остаток задолженности по основному долгу должен на протяжении всего Договора должен быть первоначальной суммой </w:t>
      </w:r>
    </w:p>
    <w:p w14:paraId="0CA0FD39" w14:textId="77777777" w:rsidR="001C44C8" w:rsidRDefault="001C44C8" w:rsidP="001C44C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размещенных (в кредит) денежных средств, значит, частичное погашение основного долга не может быть при простых процентах. При этом, по п. 3.6. выплата процентов до полного погашения основного долга также невозможна.</w:t>
      </w:r>
    </w:p>
    <w:p w14:paraId="171F2B9B" w14:textId="77777777" w:rsidR="001C44C8" w:rsidRDefault="001C44C8" w:rsidP="001C44C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14:paraId="21D8A01E" w14:textId="77777777" w:rsidR="001C44C8" w:rsidRDefault="001C44C8" w:rsidP="001C44C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В соответствии с п. 3.2.2. Периодом, за который </w:t>
      </w:r>
      <w:r w:rsidRPr="001C44C8">
        <w:rPr>
          <w:rFonts w:ascii="CIDFont+F1" w:hAnsi="CIDFont+F1" w:cs="CIDFont+F1"/>
          <w:b/>
          <w:sz w:val="20"/>
          <w:szCs w:val="20"/>
        </w:rPr>
        <w:t xml:space="preserve">начисляются </w:t>
      </w:r>
      <w:r>
        <w:rPr>
          <w:rFonts w:ascii="CIDFont+F1" w:hAnsi="CIDFont+F1" w:cs="CIDFont+F1"/>
          <w:sz w:val="20"/>
          <w:szCs w:val="20"/>
        </w:rPr>
        <w:t xml:space="preserve">проценты за пользование кредитом, является интервал в 1 календарный месяц.  Начисляться проценты могут когда угодно, но на первоначальную сумму и не изменяя общий долг и основной долг. </w:t>
      </w:r>
    </w:p>
    <w:p w14:paraId="0E836B54" w14:textId="77777777" w:rsidR="001C44C8" w:rsidRDefault="001C44C8" w:rsidP="001C44C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Таким образом, по п.1.2 Договора – Аннуитетные платежи равны 0</w:t>
      </w:r>
    </w:p>
    <w:p w14:paraId="62B9337B" w14:textId="77777777" w:rsidR="001C44C8" w:rsidRDefault="001C44C8" w:rsidP="001C44C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14:paraId="75F8D7D6" w14:textId="77777777" w:rsidR="009729CA" w:rsidRDefault="001C44C8" w:rsidP="001C44C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Следовательно, единственным Документом, нарушающим как сам </w:t>
      </w:r>
      <w:r w:rsidR="009729CA">
        <w:rPr>
          <w:rFonts w:ascii="CIDFont+F1" w:hAnsi="CIDFont+F1" w:cs="CIDFont+F1"/>
          <w:sz w:val="20"/>
          <w:szCs w:val="20"/>
        </w:rPr>
        <w:t xml:space="preserve">Кредитный </w:t>
      </w:r>
      <w:r>
        <w:rPr>
          <w:rFonts w:ascii="CIDFont+F1" w:hAnsi="CIDFont+F1" w:cs="CIDFont+F1"/>
          <w:sz w:val="20"/>
          <w:szCs w:val="20"/>
        </w:rPr>
        <w:t>Договор</w:t>
      </w:r>
      <w:r w:rsidR="009729CA">
        <w:rPr>
          <w:rFonts w:ascii="CIDFont+F1" w:hAnsi="CIDFont+F1" w:cs="CIDFont+F1"/>
          <w:sz w:val="20"/>
          <w:szCs w:val="20"/>
        </w:rPr>
        <w:t>, так и пп.3.5-3.6,3.9 Положения 39-П, Приложение 1 к Методуказаниям к 39-П, 2008-У, является График платежей, который должен выглядеть так, как представлено во вкладке «По договору».</w:t>
      </w:r>
    </w:p>
    <w:p w14:paraId="667D2AFF" w14:textId="77777777" w:rsidR="001C44C8" w:rsidRDefault="009729CA" w:rsidP="001C44C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При этом, Заемщик, не обладая специальными познаниями в соответствии с ЗоЗПП, исполнял График платежей, доверяя ПАО Сбербанк как профессиональному участнику рынка. ПАО Сбербанк, злоупотребляя доверием, совершил обман заемщика, что выразилось в завышении ПСК до 18,49% с 13,14%.</w:t>
      </w:r>
    </w:p>
    <w:p w14:paraId="6AE75505" w14:textId="77777777" w:rsidR="009729CA" w:rsidRDefault="009729CA" w:rsidP="001C44C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14:paraId="47B59F98" w14:textId="77777777" w:rsidR="009729CA" w:rsidRDefault="009729CA" w:rsidP="001C44C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В «</w:t>
      </w:r>
      <w:r w:rsidRPr="009729CA">
        <w:rPr>
          <w:rFonts w:ascii="CIDFont+F1" w:hAnsi="CIDFont+F1" w:cs="CIDFont+F1"/>
          <w:sz w:val="20"/>
          <w:szCs w:val="20"/>
        </w:rPr>
        <w:t>Экономическии</w:t>
      </w:r>
      <w:r w:rsidRPr="009729CA">
        <w:rPr>
          <w:rFonts w:ascii="Cambria Math" w:hAnsi="Cambria Math" w:cs="Cambria Math"/>
          <w:sz w:val="20"/>
          <w:szCs w:val="20"/>
        </w:rPr>
        <w:t>̆</w:t>
      </w:r>
      <w:r w:rsidRPr="009729CA">
        <w:rPr>
          <w:rFonts w:ascii="Arial" w:hAnsi="Arial" w:cs="Arial"/>
          <w:sz w:val="20"/>
          <w:szCs w:val="20"/>
        </w:rPr>
        <w:t xml:space="preserve"> отчет_исследование аннуитетного порядка погашения</w:t>
      </w:r>
      <w:r>
        <w:rPr>
          <w:rFonts w:ascii="CIDFont+F1" w:hAnsi="CIDFont+F1" w:cs="CIDFont+F1"/>
          <w:sz w:val="20"/>
          <w:szCs w:val="20"/>
        </w:rPr>
        <w:t>» указывается на стр 10, что ПСК (этот индиктор) был введен регулирующим органом (ЦБ РФ) именно для того, чтобы обеспечить заемщику надежный инструмент</w:t>
      </w:r>
      <w:r w:rsidR="000B19D5">
        <w:rPr>
          <w:rFonts w:ascii="CIDFont+F1" w:hAnsi="CIDFont+F1" w:cs="CIDFont+F1"/>
          <w:sz w:val="20"/>
          <w:szCs w:val="20"/>
        </w:rPr>
        <w:t xml:space="preserve"> для сравнения условий разных кредитов, с разным механизмом определения выплат.</w:t>
      </w:r>
    </w:p>
    <w:p w14:paraId="1DB870F3" w14:textId="77777777" w:rsidR="000B19D5" w:rsidRDefault="000B19D5" w:rsidP="001C44C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Поскольку данный кредит может быть выплачен только одним платежом, надо при помощи ПСК определить, какой кредит с одним платежом через 5 лет является эквивалентным.</w:t>
      </w:r>
    </w:p>
    <w:p w14:paraId="47D1CEE0" w14:textId="77777777" w:rsidR="000B19D5" w:rsidRDefault="000B19D5" w:rsidP="001C44C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14:paraId="56FA54D8" w14:textId="77777777" w:rsidR="00CE4FD2" w:rsidRDefault="000B19D5" w:rsidP="00CE4FD2">
      <w:pPr>
        <w:rPr>
          <w:rFonts w:ascii="Arial" w:hAnsi="Arial" w:cs="Arial"/>
          <w:color w:val="242424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t>На вкладке 18,49% указана формула расчета:</w:t>
      </w:r>
    </w:p>
    <w:p w14:paraId="5C95CAC4" w14:textId="77777777" w:rsidR="000B19D5" w:rsidRDefault="000B19D5" w:rsidP="00CE4FD2">
      <w:pPr>
        <w:rPr>
          <w:rFonts w:ascii="Arial" w:hAnsi="Arial" w:cs="Arial"/>
          <w:color w:val="242424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42424"/>
          <w:sz w:val="23"/>
          <w:szCs w:val="23"/>
          <w:shd w:val="clear" w:color="auto" w:fill="FFFFFF"/>
        </w:rPr>
        <w:t>В соответствии с формулой 2008-У определяем:</w:t>
      </w:r>
    </w:p>
    <w:p w14:paraId="7990BB68" w14:textId="0BA3A3A9" w:rsidR="000B19D5" w:rsidRPr="000B19D5" w:rsidRDefault="000B19D5" w:rsidP="000B19D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lang w:eastAsia="ru-RU"/>
            </w:rPr>
            <w:lastRenderedPageBreak/>
            <m:t>-339700+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lang w:eastAsia="ru-RU"/>
                </w:rPr>
                <m:t>ДП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lang w:eastAsia="ru-RU"/>
                        </w:rPr>
                        <m:t>1+0,1849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lang w:eastAsia="ru-RU"/>
                        </w:rPr>
                        <m:t>1827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000000"/>
                          <w:lang w:eastAsia="ru-RU"/>
                        </w:rPr>
                        <m:t>365</m:t>
                      </m:r>
                    </m:den>
                  </m:f>
                </m:sup>
              </m:sSup>
            </m:den>
          </m:f>
          <m:r>
            <w:rPr>
              <w:rFonts w:ascii="Cambria Math" w:eastAsia="Times New Roman" w:hAnsi="Cambria Math" w:cs="Times New Roman"/>
              <w:color w:val="000000"/>
              <w:lang w:eastAsia="ru-RU"/>
            </w:rPr>
            <m:t>=0</m:t>
          </m:r>
        </m:oMath>
      </m:oMathPara>
    </w:p>
    <w:p w14:paraId="40728ECD" w14:textId="77777777" w:rsidR="000B19D5" w:rsidRDefault="000B19D5" w:rsidP="00CE4FD2">
      <w:pPr>
        <w:rPr>
          <w:rFonts w:ascii="Arial" w:eastAsiaTheme="minorEastAsia" w:hAnsi="Arial" w:cs="Arial"/>
          <w:color w:val="242424"/>
          <w:sz w:val="23"/>
          <w:szCs w:val="23"/>
          <w:shd w:val="clear" w:color="auto" w:fill="FFFFFF"/>
        </w:rPr>
      </w:pPr>
      <m:oMathPara>
        <m:oMath>
          <m:r>
            <w:rPr>
              <w:rFonts w:ascii="Cambria Math" w:hAnsi="Cambria Math" w:cs="Arial"/>
              <w:color w:val="242424"/>
              <w:sz w:val="23"/>
              <w:szCs w:val="23"/>
              <w:shd w:val="clear" w:color="auto" w:fill="FFFFFF"/>
            </w:rPr>
            <m:t>ДП=339700*</m:t>
          </m:r>
          <m:sSup>
            <m:sSupPr>
              <m:ctrlPr>
                <w:rPr>
                  <w:rFonts w:ascii="Cambria Math" w:hAnsi="Cambria Math" w:cs="Arial"/>
                  <w:i/>
                  <w:color w:val="242424"/>
                  <w:sz w:val="23"/>
                  <w:szCs w:val="23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 w:cs="Arial"/>
                  <w:color w:val="242424"/>
                  <w:sz w:val="23"/>
                  <w:szCs w:val="23"/>
                  <w:shd w:val="clear" w:color="auto" w:fill="FFFFFF"/>
                </w:rPr>
                <m:t>1,1849</m:t>
              </m:r>
            </m:e>
            <m:sup>
              <m:f>
                <m:fPr>
                  <m:ctrlPr>
                    <w:rPr>
                      <w:rFonts w:ascii="Cambria Math" w:hAnsi="Cambria Math" w:cs="Arial"/>
                      <w:i/>
                      <w:color w:val="242424"/>
                      <w:sz w:val="23"/>
                      <w:szCs w:val="23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242424"/>
                      <w:sz w:val="23"/>
                      <w:szCs w:val="23"/>
                      <w:shd w:val="clear" w:color="auto" w:fill="FFFFFF"/>
                    </w:rPr>
                    <m:t>1827</m:t>
                  </m:r>
                </m:num>
                <m:den>
                  <m:r>
                    <w:rPr>
                      <w:rFonts w:ascii="Cambria Math" w:hAnsi="Cambria Math" w:cs="Arial"/>
                      <w:color w:val="242424"/>
                      <w:sz w:val="23"/>
                      <w:szCs w:val="23"/>
                      <w:shd w:val="clear" w:color="auto" w:fill="FFFFFF"/>
                    </w:rPr>
                    <m:t>365</m:t>
                  </m:r>
                </m:den>
              </m:f>
            </m:sup>
          </m:sSup>
          <m:r>
            <w:rPr>
              <w:rFonts w:ascii="Cambria Math" w:hAnsi="Cambria Math" w:cs="Arial"/>
              <w:color w:val="242424"/>
              <w:sz w:val="23"/>
              <w:szCs w:val="23"/>
              <w:shd w:val="clear" w:color="auto" w:fill="FFFFFF"/>
            </w:rPr>
            <m:t>=794 159,58</m:t>
          </m:r>
        </m:oMath>
      </m:oMathPara>
    </w:p>
    <w:p w14:paraId="05DD186E" w14:textId="77777777" w:rsidR="000B19D5" w:rsidRDefault="000B19D5" w:rsidP="000B19D5">
      <w:pPr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Arial" w:eastAsiaTheme="minorEastAsia" w:hAnsi="Arial" w:cs="Arial"/>
          <w:color w:val="242424"/>
          <w:sz w:val="23"/>
          <w:szCs w:val="23"/>
          <w:shd w:val="clear" w:color="auto" w:fill="FFFFFF"/>
        </w:rPr>
        <w:t>Значит, погашение процентов =</w:t>
      </w:r>
      <w:r w:rsidRPr="000B19D5">
        <w:t xml:space="preserve"> </w:t>
      </w:r>
      <w:r w:rsidRPr="000B19D5">
        <w:rPr>
          <w:rFonts w:ascii="Arial" w:eastAsiaTheme="minorEastAsia" w:hAnsi="Arial" w:cs="Arial"/>
          <w:color w:val="242424"/>
          <w:sz w:val="23"/>
          <w:szCs w:val="23"/>
          <w:shd w:val="clear" w:color="auto" w:fill="FFFFFF"/>
        </w:rPr>
        <w:t>794</w:t>
      </w:r>
      <w:r>
        <w:rPr>
          <w:rFonts w:ascii="Arial" w:eastAsiaTheme="minorEastAsia" w:hAnsi="Arial" w:cs="Arial"/>
          <w:color w:val="242424"/>
          <w:sz w:val="23"/>
          <w:szCs w:val="23"/>
          <w:shd w:val="clear" w:color="auto" w:fill="FFFFFF"/>
        </w:rPr>
        <w:t xml:space="preserve"> </w:t>
      </w:r>
      <w:r w:rsidRPr="000B19D5">
        <w:rPr>
          <w:rFonts w:ascii="Arial" w:eastAsiaTheme="minorEastAsia" w:hAnsi="Arial" w:cs="Arial"/>
          <w:color w:val="242424"/>
          <w:sz w:val="23"/>
          <w:szCs w:val="23"/>
          <w:shd w:val="clear" w:color="auto" w:fill="FFFFFF"/>
        </w:rPr>
        <w:t>159,58</w:t>
      </w:r>
      <w:r>
        <w:rPr>
          <w:rFonts w:ascii="Arial" w:eastAsiaTheme="minorEastAsia" w:hAnsi="Arial" w:cs="Arial"/>
          <w:color w:val="242424"/>
          <w:sz w:val="23"/>
          <w:szCs w:val="23"/>
          <w:shd w:val="clear" w:color="auto" w:fill="FFFFFF"/>
        </w:rPr>
        <w:t>-339 700=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454 459,58</w:t>
      </w:r>
    </w:p>
    <w:p w14:paraId="0DFEF228" w14:textId="77777777" w:rsidR="000B19D5" w:rsidRDefault="000B19D5" w:rsidP="000B19D5">
      <w:pPr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Но на вкладке «По договору» погашение процентов 290532,20.</w:t>
      </w:r>
    </w:p>
    <w:p w14:paraId="089C92DF" w14:textId="77777777" w:rsidR="000B19D5" w:rsidRDefault="000B19D5" w:rsidP="000B19D5">
      <w:pPr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Отсюда на 10.06.2016 неосновательное обогащение банка составило 163 927,38.</w:t>
      </w:r>
    </w:p>
    <w:p w14:paraId="79BB1A2C" w14:textId="77777777" w:rsidR="00D45E76" w:rsidRDefault="000B19D5" w:rsidP="000B19D5">
      <w:pPr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В соответствии с ст. 1102 ГК РФ</w:t>
      </w:r>
      <w:r w:rsidR="00D45E76">
        <w:rPr>
          <w:rFonts w:ascii="Calibri" w:eastAsia="Times New Roman" w:hAnsi="Calibri" w:cs="Times New Roman"/>
          <w:color w:val="000000"/>
          <w:lang w:eastAsia="ru-RU"/>
        </w:rPr>
        <w:t xml:space="preserve"> неосновательное обогащение должно было возвращено 10.06.2016, но этого не произошло.</w:t>
      </w:r>
    </w:p>
    <w:p w14:paraId="19E80DC9" w14:textId="77777777" w:rsidR="00D45E76" w:rsidRDefault="00D45E76" w:rsidP="000B19D5">
      <w:pPr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По ч.1 ст. 1107 гк неосновательное обогащение производится по вкладке «</w:t>
      </w:r>
      <w:r w:rsidRPr="00D45E76">
        <w:rPr>
          <w:rFonts w:ascii="Calibri" w:eastAsia="Times New Roman" w:hAnsi="Calibri" w:cs="Times New Roman"/>
          <w:color w:val="000000"/>
          <w:lang w:eastAsia="ru-RU"/>
        </w:rPr>
        <w:t>Расчет неосновательного обогаще</w:t>
      </w:r>
      <w:r>
        <w:rPr>
          <w:rFonts w:ascii="Calibri" w:eastAsia="Times New Roman" w:hAnsi="Calibri" w:cs="Times New Roman"/>
          <w:color w:val="000000"/>
          <w:lang w:eastAsia="ru-RU"/>
        </w:rPr>
        <w:t>»</w:t>
      </w:r>
    </w:p>
    <w:p w14:paraId="76659EF9" w14:textId="77777777" w:rsidR="00D45E76" w:rsidRDefault="00D45E76" w:rsidP="000B19D5">
      <w:pPr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По ч.2. ст. 1107 гк по ст. 395 ГК были рассчитаны проценты за пользование чужими денежными средствами.</w:t>
      </w:r>
    </w:p>
    <w:p w14:paraId="3390B72F" w14:textId="77777777" w:rsidR="00D45E76" w:rsidRDefault="00D45E76" w:rsidP="00D45E76">
      <w:pPr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Общая задолженность банка перед заемщиком составляет </w:t>
      </w:r>
      <w:r w:rsidRPr="00D45E76">
        <w:rPr>
          <w:rFonts w:ascii="Calibri" w:eastAsia="Times New Roman" w:hAnsi="Calibri" w:cs="Times New Roman"/>
          <w:color w:val="000000"/>
          <w:lang w:eastAsia="ru-RU"/>
        </w:rPr>
        <w:t>355 593,42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р. На 17.11.2019</w:t>
      </w:r>
    </w:p>
    <w:p w14:paraId="51D0624F" w14:textId="77777777" w:rsidR="00D45E76" w:rsidRDefault="00D45E76" w:rsidP="00D45E76">
      <w:pPr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Расчет по ст. 395 был произведен при помощи сайта </w:t>
      </w:r>
      <w:hyperlink r:id="rId4" w:history="1">
        <w:r w:rsidRPr="00876C1C">
          <w:rPr>
            <w:rStyle w:val="a4"/>
            <w:rFonts w:ascii="Calibri" w:eastAsia="Times New Roman" w:hAnsi="Calibri" w:cs="Times New Roman"/>
            <w:lang w:eastAsia="ru-RU"/>
          </w:rPr>
          <w:t>http://395gk.ru/</w:t>
        </w:r>
      </w:hyperlink>
    </w:p>
    <w:p w14:paraId="4258618B" w14:textId="77777777" w:rsidR="004301FB" w:rsidRDefault="00157B92" w:rsidP="004301FB">
      <w:pPr>
        <w:pStyle w:val="Default"/>
        <w:rPr>
          <w:sz w:val="23"/>
          <w:szCs w:val="23"/>
        </w:rPr>
      </w:pPr>
      <w:r>
        <w:rPr>
          <w:rFonts w:ascii="Calibri" w:eastAsia="Times New Roman" w:hAnsi="Calibri"/>
          <w:lang w:eastAsia="ru-RU"/>
        </w:rPr>
        <w:t xml:space="preserve">Кроме того, банк должен был рассчитывать при каждом изменении ПСК. В соответствии </w:t>
      </w:r>
      <w:r w:rsidR="004301FB">
        <w:rPr>
          <w:rFonts w:ascii="Calibri" w:eastAsia="Times New Roman" w:hAnsi="Calibri"/>
          <w:lang w:eastAsia="ru-RU"/>
        </w:rPr>
        <w:t>с «</w:t>
      </w:r>
      <w:r w:rsidR="004301FB">
        <w:rPr>
          <w:b/>
          <w:bCs/>
          <w:sz w:val="23"/>
          <w:szCs w:val="23"/>
        </w:rPr>
        <w:t xml:space="preserve">Ответ письмо ДБР от 05.09.2014 №41-2-2-6/1615 </w:t>
      </w:r>
    </w:p>
    <w:p w14:paraId="53A2DA1A" w14:textId="77777777" w:rsidR="004301FB" w:rsidRDefault="004301FB" w:rsidP="004301F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Банку </w:t>
      </w:r>
    </w:p>
    <w:p w14:paraId="2995F1A9" w14:textId="77777777" w:rsidR="00D45E76" w:rsidRDefault="004301FB" w:rsidP="004301FB">
      <w:pPr>
        <w:rPr>
          <w:rFonts w:ascii="Calibri" w:eastAsia="Times New Roman" w:hAnsi="Calibri" w:cs="Times New Roman"/>
          <w:color w:val="000000"/>
          <w:lang w:eastAsia="ru-RU"/>
        </w:rPr>
      </w:pPr>
      <w:r>
        <w:rPr>
          <w:sz w:val="23"/>
          <w:szCs w:val="23"/>
        </w:rPr>
        <w:t>на запрос от 30.04.2014</w:t>
      </w:r>
      <w:r>
        <w:rPr>
          <w:rFonts w:ascii="Calibri" w:eastAsia="Times New Roman" w:hAnsi="Calibri" w:cs="Times New Roman"/>
          <w:color w:val="000000"/>
          <w:lang w:eastAsia="ru-RU"/>
        </w:rPr>
        <w:t>»   «</w:t>
      </w:r>
      <w:r>
        <w:rPr>
          <w:sz w:val="23"/>
          <w:szCs w:val="23"/>
        </w:rPr>
        <w:t>Требование Закона об обязательном уведомлении кредитором заемщика об изменении ПСК предполагает наличие у кредитора подтверждения факта получения заемщиком такого уведомления. Кредитору целесообразно при выборе способа уведомления учитывать возможность возникновения спора с заемщиком по этому вопросу.</w:t>
      </w:r>
      <w:r>
        <w:rPr>
          <w:rFonts w:ascii="Calibri" w:eastAsia="Times New Roman" w:hAnsi="Calibri" w:cs="Times New Roman"/>
          <w:color w:val="000000"/>
          <w:lang w:eastAsia="ru-RU"/>
        </w:rPr>
        <w:t>»</w:t>
      </w:r>
    </w:p>
    <w:p w14:paraId="7864AE8B" w14:textId="77777777" w:rsidR="004301FB" w:rsidRDefault="004301FB" w:rsidP="004301FB">
      <w:pPr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Поскольку, по мнению Банка, ПСК не изменялась, значит, расчет на 10.06.2016 справедлив</w:t>
      </w:r>
    </w:p>
    <w:p w14:paraId="4988F5A5" w14:textId="77777777" w:rsidR="004301FB" w:rsidRPr="00157B92" w:rsidRDefault="004301FB" w:rsidP="004301FB">
      <w:pPr>
        <w:rPr>
          <w:rFonts w:ascii="Calibri" w:eastAsia="Times New Roman" w:hAnsi="Calibri" w:cs="Times New Roman"/>
          <w:color w:val="000000"/>
          <w:lang w:eastAsia="ru-RU"/>
        </w:rPr>
      </w:pPr>
    </w:p>
    <w:p w14:paraId="26448B31" w14:textId="77777777" w:rsidR="000B19D5" w:rsidRPr="000B19D5" w:rsidRDefault="000B19D5" w:rsidP="000B19D5">
      <w:pPr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14:paraId="2E9C9EE2" w14:textId="77777777" w:rsidR="000B19D5" w:rsidRDefault="000B19D5" w:rsidP="00CE4FD2">
      <w:pPr>
        <w:rPr>
          <w:rFonts w:ascii="Arial" w:eastAsiaTheme="minorEastAsia" w:hAnsi="Arial" w:cs="Arial"/>
          <w:color w:val="242424"/>
          <w:sz w:val="23"/>
          <w:szCs w:val="23"/>
          <w:shd w:val="clear" w:color="auto" w:fill="FFFFFF"/>
        </w:rPr>
      </w:pPr>
    </w:p>
    <w:p w14:paraId="498813E6" w14:textId="77777777" w:rsidR="000B19D5" w:rsidRPr="00CE2BB4" w:rsidRDefault="000B19D5" w:rsidP="00CE4FD2">
      <w:pPr>
        <w:rPr>
          <w:rFonts w:ascii="Arial" w:hAnsi="Arial" w:cs="Arial"/>
          <w:color w:val="242424"/>
          <w:sz w:val="23"/>
          <w:szCs w:val="23"/>
          <w:shd w:val="clear" w:color="auto" w:fill="FFFFFF"/>
        </w:rPr>
      </w:pPr>
    </w:p>
    <w:sectPr w:rsidR="000B19D5" w:rsidRPr="00CE2BB4" w:rsidSect="00BF5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IDFont+F1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IDFont+F3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AE"/>
    <w:rsid w:val="000B19D5"/>
    <w:rsid w:val="00157B92"/>
    <w:rsid w:val="001C44C8"/>
    <w:rsid w:val="004301FB"/>
    <w:rsid w:val="00483AA2"/>
    <w:rsid w:val="004C5E77"/>
    <w:rsid w:val="006927D0"/>
    <w:rsid w:val="00710B0E"/>
    <w:rsid w:val="00724A06"/>
    <w:rsid w:val="009729CA"/>
    <w:rsid w:val="00A4004E"/>
    <w:rsid w:val="00A919C8"/>
    <w:rsid w:val="00AB42AE"/>
    <w:rsid w:val="00B7650D"/>
    <w:rsid w:val="00BB310F"/>
    <w:rsid w:val="00BF5A31"/>
    <w:rsid w:val="00C504C9"/>
    <w:rsid w:val="00CE2BB4"/>
    <w:rsid w:val="00CE4FD2"/>
    <w:rsid w:val="00D4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8EBF"/>
  <w15:docId w15:val="{85525BA7-5ECC-4912-A818-199C4F65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B19D5"/>
    <w:rPr>
      <w:color w:val="808080"/>
    </w:rPr>
  </w:style>
  <w:style w:type="character" w:styleId="a4">
    <w:name w:val="Hyperlink"/>
    <w:basedOn w:val="a0"/>
    <w:uiPriority w:val="99"/>
    <w:unhideWhenUsed/>
    <w:rsid w:val="00D45E76"/>
    <w:rPr>
      <w:color w:val="0000FF" w:themeColor="hyperlink"/>
      <w:u w:val="single"/>
    </w:rPr>
  </w:style>
  <w:style w:type="paragraph" w:customStyle="1" w:styleId="Default">
    <w:name w:val="Default"/>
    <w:rsid w:val="004301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1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395g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Романенко</dc:creator>
  <cp:keywords/>
  <dc:description/>
  <cp:lastModifiedBy>Professional</cp:lastModifiedBy>
  <cp:revision>3</cp:revision>
  <dcterms:created xsi:type="dcterms:W3CDTF">2019-11-28T16:19:00Z</dcterms:created>
  <dcterms:modified xsi:type="dcterms:W3CDTF">2019-11-29T09:06:00Z</dcterms:modified>
</cp:coreProperties>
</file>